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094F4" w14:textId="77777777" w:rsidR="001C5954" w:rsidRPr="00D26B2C" w:rsidRDefault="001C5954" w:rsidP="001C5954">
      <w:pPr>
        <w:pStyle w:val="Nzev"/>
        <w:widowControl w:val="0"/>
        <w:spacing w:after="0"/>
        <w:contextualSpacing/>
        <w:jc w:val="both"/>
        <w:rPr>
          <w:b w:val="0"/>
          <w:u w:val="none"/>
          <w:lang w:eastAsia="en-US"/>
        </w:rPr>
      </w:pPr>
      <w:r w:rsidRPr="00D26B2C">
        <w:rPr>
          <w:b w:val="0"/>
          <w:u w:val="none"/>
          <w:lang w:eastAsia="en-US"/>
        </w:rPr>
        <w:t>Příloha č. 3 Výzvy – Závazný vzor smlouvy</w:t>
      </w:r>
    </w:p>
    <w:p w14:paraId="73C4A373" w14:textId="79BF2470" w:rsidR="00F20995" w:rsidRPr="00926B03" w:rsidRDefault="001C5954" w:rsidP="001C5954">
      <w:pPr>
        <w:pStyle w:val="Nzev"/>
        <w:widowControl w:val="0"/>
        <w:suppressAutoHyphens w:val="0"/>
        <w:spacing w:before="0" w:after="0"/>
        <w:contextualSpacing/>
        <w:jc w:val="both"/>
        <w:outlineLvl w:val="9"/>
        <w:rPr>
          <w:color w:val="FF5200" w:themeColor="accent2"/>
          <w:sz w:val="36"/>
          <w:szCs w:val="36"/>
          <w:lang w:eastAsia="en-US"/>
        </w:rPr>
      </w:pPr>
      <w:r w:rsidRPr="00B16879">
        <w:rPr>
          <w:color w:val="FF5200" w:themeColor="accent2"/>
          <w:sz w:val="36"/>
          <w:szCs w:val="36"/>
          <w:lang w:eastAsia="en-US"/>
        </w:rPr>
        <w:t>Kupní smlouva</w:t>
      </w:r>
    </w:p>
    <w:p w14:paraId="06866C32" w14:textId="1B6E3F35" w:rsidR="00F20995" w:rsidRP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</w:t>
      </w:r>
      <w:r w:rsidR="000018B7">
        <w:rPr>
          <w:rFonts w:eastAsia="Times New Roman" w:cs="Times New Roman"/>
          <w:b/>
          <w:highlight w:val="yellow"/>
          <w:lang w:eastAsia="cs-CZ"/>
        </w:rPr>
        <w:t>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</w:t>
      </w:r>
      <w:r w:rsidR="00306A57">
        <w:rPr>
          <w:rFonts w:ascii="Verdana" w:hAnsi="Verdana" w:cstheme="minorHAnsi"/>
          <w:highlight w:val="yellow"/>
        </w:rPr>
        <w:t>[DOPLNÍ KUPUJÍCÍ PŘI PODPISU SMLOUVY</w:t>
      </w:r>
      <w:r w:rsidR="00796A0B" w:rsidRPr="00633D18">
        <w:rPr>
          <w:rFonts w:ascii="Verdana" w:hAnsi="Verdana" w:cstheme="minorHAnsi"/>
          <w:highlight w:val="yellow"/>
        </w:rPr>
        <w:t>]</w:t>
      </w:r>
    </w:p>
    <w:p w14:paraId="6DF16FA9" w14:textId="715ABF5F" w:rsid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</w:t>
      </w:r>
      <w:r w:rsidR="000018B7">
        <w:rPr>
          <w:rFonts w:eastAsia="Times New Roman" w:cs="Times New Roman"/>
          <w:b/>
          <w:highlight w:val="green"/>
          <w:lang w:eastAsia="cs-CZ"/>
        </w:rPr>
        <w:t>:</w:t>
      </w:r>
      <w:r w:rsidRPr="00593AE5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27568870" w14:textId="77777777" w:rsidR="00F20995" w:rsidRP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42D566CC" w:rsidR="00D85C5B" w:rsidRDefault="00F20995" w:rsidP="000018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2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0018B7">
        <w:rPr>
          <w:rFonts w:eastAsia="Times New Roman" w:cs="Times New Roman"/>
          <w:lang w:eastAsia="cs-CZ"/>
        </w:rPr>
        <w:t xml:space="preserve">zastoupená </w:t>
      </w:r>
      <w:r w:rsidR="00843A43" w:rsidRPr="00843A43">
        <w:rPr>
          <w:rFonts w:eastAsia="Times New Roman" w:cs="Times New Roman"/>
          <w:lang w:eastAsia="cs-CZ"/>
        </w:rPr>
        <w:t>JUDr. Janem Blechou, ředitelem Hasičského záchranného sboru</w:t>
      </w:r>
    </w:p>
    <w:p w14:paraId="716B4D85" w14:textId="15964B2C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5511B25" w:rsidR="00D85C5B" w:rsidRPr="00796A0B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b/>
          <w:lang w:eastAsia="cs-CZ"/>
        </w:rPr>
        <w:t>Prodávající:</w:t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jméno osoby</w:t>
      </w:r>
      <w:r w:rsidR="00796A0B" w:rsidRPr="0079254B">
        <w:rPr>
          <w:rFonts w:eastAsia="Times New Roman" w:cs="Times New Roman"/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7777777" w:rsidR="00D85C5B" w:rsidRPr="0079254B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22E0CB47" w14:textId="77777777" w:rsidR="00D85C5B" w:rsidRPr="0079254B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údaje o sídlu</w:t>
      </w:r>
    </w:p>
    <w:p w14:paraId="385B5569" w14:textId="7C710AF4" w:rsidR="00D85C5B" w:rsidRPr="00796A0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254B">
        <w:rPr>
          <w:rFonts w:eastAsia="Times New Roman" w:cs="Times New Roman"/>
          <w:lang w:eastAsia="cs-CZ"/>
        </w:rPr>
        <w:t xml:space="preserve">                      </w:t>
      </w:r>
      <w:r w:rsidR="00D85C5B" w:rsidRPr="00796A0B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796A0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6A0B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796A0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796A0B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79254B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lang w:eastAsia="cs-CZ"/>
        </w:rPr>
        <w:tab/>
      </w:r>
      <w:r w:rsidRPr="0079254B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39B2AEE" w:rsidR="00D85C5B" w:rsidRPr="000C5DA0" w:rsidRDefault="00D85C5B" w:rsidP="0079254B">
      <w:pPr>
        <w:widowControl w:val="0"/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1C5954">
        <w:rPr>
          <w:lang w:eastAsia="cs-CZ"/>
        </w:rPr>
        <w:t>výběrového</w:t>
      </w:r>
      <w:r w:rsidRPr="001C5954">
        <w:rPr>
          <w:lang w:eastAsia="cs-CZ"/>
        </w:rPr>
        <w:t xml:space="preserve"> řízení veřejné zakázky s názvem „</w:t>
      </w:r>
      <w:r w:rsidR="00085B33" w:rsidRPr="00085B33">
        <w:rPr>
          <w:lang w:eastAsia="cs-CZ"/>
        </w:rPr>
        <w:t>Oprava nakolejovacího zařízení LUKAS</w:t>
      </w:r>
      <w:r w:rsidRPr="001C5954">
        <w:rPr>
          <w:lang w:eastAsia="cs-CZ"/>
        </w:rPr>
        <w:t xml:space="preserve">“, </w:t>
      </w:r>
      <w:r w:rsidR="001C22E7" w:rsidRPr="001C5954">
        <w:rPr>
          <w:rFonts w:eastAsia="Times New Roman" w:cs="Times New Roman"/>
          <w:lang w:eastAsia="cs-CZ"/>
        </w:rPr>
        <w:t>č.j. veřejné zakázky</w:t>
      </w:r>
      <w:r w:rsidR="00F20995" w:rsidRPr="001C5954">
        <w:rPr>
          <w:rFonts w:eastAsia="Times New Roman" w:cs="Times New Roman"/>
          <w:lang w:eastAsia="cs-CZ"/>
        </w:rPr>
        <w:t xml:space="preserve"> </w:t>
      </w:r>
      <w:r w:rsidR="00085B33">
        <w:rPr>
          <w:rFonts w:eastAsia="Times New Roman" w:cs="Times New Roman"/>
          <w:lang w:eastAsia="cs-CZ"/>
        </w:rPr>
        <w:t>78965</w:t>
      </w:r>
      <w:r w:rsidR="00D676D5">
        <w:rPr>
          <w:rFonts w:eastAsia="Times New Roman" w:cs="Times New Roman"/>
          <w:lang w:eastAsia="cs-CZ"/>
        </w:rPr>
        <w:t>/</w:t>
      </w:r>
      <w:r w:rsidR="001C5954" w:rsidRPr="001C5954">
        <w:rPr>
          <w:rFonts w:eastAsia="Times New Roman" w:cs="Times New Roman"/>
          <w:lang w:eastAsia="cs-CZ"/>
        </w:rPr>
        <w:t xml:space="preserve">2023-SŽ-GŘ-O8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1C5954" w:rsidRDefault="00D85C5B" w:rsidP="0079254B">
      <w:pPr>
        <w:pStyle w:val="Nadpis1"/>
        <w:widowControl w:val="0"/>
        <w:suppressAutoHyphens w:val="0"/>
        <w:jc w:val="both"/>
      </w:pPr>
      <w:r w:rsidRPr="001C5954">
        <w:t>Předmět koupě (přesná specifikace)</w:t>
      </w:r>
    </w:p>
    <w:p w14:paraId="1CC662D5" w14:textId="4089903C" w:rsidR="00D85C5B" w:rsidRPr="001C5954" w:rsidRDefault="00D85C5B" w:rsidP="0079254B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>Předmětem koupě j</w:t>
      </w:r>
      <w:r w:rsidR="0038167B">
        <w:rPr>
          <w:rFonts w:eastAsia="Times New Roman" w:cs="Times New Roman"/>
          <w:lang w:eastAsia="cs-CZ"/>
        </w:rPr>
        <w:t>sou</w:t>
      </w:r>
      <w:r w:rsidRPr="001C5954">
        <w:rPr>
          <w:rFonts w:eastAsia="Times New Roman" w:cs="Times New Roman"/>
          <w:lang w:eastAsia="cs-CZ"/>
        </w:rPr>
        <w:t xml:space="preserve"> </w:t>
      </w:r>
      <w:r w:rsidR="00085B33">
        <w:rPr>
          <w:rFonts w:eastAsia="Times New Roman" w:cs="Times New Roman"/>
          <w:lang w:eastAsia="cs-CZ"/>
        </w:rPr>
        <w:t>komponent</w:t>
      </w:r>
      <w:r w:rsidR="00117F03">
        <w:rPr>
          <w:rFonts w:eastAsia="Times New Roman" w:cs="Times New Roman"/>
          <w:lang w:eastAsia="cs-CZ"/>
        </w:rPr>
        <w:t>y</w:t>
      </w:r>
      <w:r w:rsidR="001C5954" w:rsidRPr="001C5954">
        <w:rPr>
          <w:rFonts w:eastAsia="Times New Roman" w:cs="Times New Roman"/>
          <w:lang w:eastAsia="cs-CZ"/>
        </w:rPr>
        <w:t xml:space="preserve"> </w:t>
      </w:r>
      <w:r w:rsidR="00117F03">
        <w:rPr>
          <w:rFonts w:eastAsia="Times New Roman" w:cs="Times New Roman"/>
          <w:lang w:eastAsia="cs-CZ"/>
        </w:rPr>
        <w:t>nakolejovacího zařízení</w:t>
      </w:r>
      <w:r w:rsidR="008905AC">
        <w:rPr>
          <w:rFonts w:eastAsia="Times New Roman" w:cs="Times New Roman"/>
          <w:lang w:eastAsia="cs-CZ"/>
        </w:rPr>
        <w:t xml:space="preserve"> LUKAS </w:t>
      </w:r>
      <w:r w:rsidR="00AB201E">
        <w:rPr>
          <w:rFonts w:eastAsia="Times New Roman" w:cs="Times New Roman"/>
          <w:lang w:eastAsia="cs-CZ"/>
        </w:rPr>
        <w:t>specifikovan</w:t>
      </w:r>
      <w:r w:rsidR="00117F03">
        <w:rPr>
          <w:rFonts w:eastAsia="Times New Roman" w:cs="Times New Roman"/>
          <w:lang w:eastAsia="cs-CZ"/>
        </w:rPr>
        <w:t>é</w:t>
      </w:r>
      <w:r w:rsidR="00AB201E" w:rsidRPr="00085B33">
        <w:rPr>
          <w:rFonts w:eastAsia="Times New Roman" w:cs="Times New Roman"/>
          <w:lang w:eastAsia="cs-CZ"/>
        </w:rPr>
        <w:t xml:space="preserve"> </w:t>
      </w:r>
      <w:r w:rsidR="00085B33" w:rsidRPr="00085B33">
        <w:rPr>
          <w:rFonts w:eastAsia="Times New Roman" w:cs="Times New Roman"/>
          <w:lang w:eastAsia="cs-CZ"/>
        </w:rPr>
        <w:t>v</w:t>
      </w:r>
      <w:r w:rsidR="00B174D5">
        <w:rPr>
          <w:rFonts w:eastAsia="Times New Roman" w:cs="Times New Roman"/>
          <w:lang w:eastAsia="cs-CZ"/>
        </w:rPr>
        <w:t> </w:t>
      </w:r>
      <w:r w:rsidR="00085B33" w:rsidRPr="00085B33">
        <w:rPr>
          <w:rFonts w:eastAsia="Times New Roman" w:cs="Times New Roman"/>
          <w:lang w:eastAsia="cs-CZ"/>
        </w:rPr>
        <w:t>příloze č. 2 této Smlouvy</w:t>
      </w:r>
      <w:r w:rsidRPr="001C5954">
        <w:rPr>
          <w:rFonts w:eastAsia="Times New Roman" w:cs="Times New Roman"/>
          <w:lang w:eastAsia="cs-CZ"/>
        </w:rPr>
        <w:t>.</w:t>
      </w:r>
    </w:p>
    <w:p w14:paraId="449B89C0" w14:textId="53FD4F4F" w:rsidR="004B6C47" w:rsidRPr="00B174D5" w:rsidRDefault="00D85C5B" w:rsidP="00B174D5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B174D5">
        <w:rPr>
          <w:rFonts w:eastAsia="Times New Roman" w:cs="Times New Roman"/>
          <w:lang w:eastAsia="cs-CZ"/>
        </w:rPr>
        <w:t>Předmět koupě musí splňovat podmínky stanovené právními předpisy</w:t>
      </w:r>
      <w:r w:rsidR="00B174D5">
        <w:rPr>
          <w:rFonts w:eastAsia="Times New Roman" w:cs="Times New Roman"/>
          <w:lang w:eastAsia="cs-CZ"/>
        </w:rPr>
        <w:t xml:space="preserve"> a</w:t>
      </w:r>
      <w:r w:rsidR="00B174D5" w:rsidRPr="00B174D5">
        <w:rPr>
          <w:rFonts w:eastAsia="Times New Roman" w:cs="Times New Roman"/>
          <w:lang w:eastAsia="cs-CZ"/>
        </w:rPr>
        <w:t xml:space="preserve"> </w:t>
      </w:r>
      <w:r w:rsidRPr="00B174D5">
        <w:rPr>
          <w:rFonts w:eastAsia="Times New Roman" w:cs="Times New Roman"/>
          <w:lang w:eastAsia="cs-CZ"/>
        </w:rPr>
        <w:t>normami Č</w:t>
      </w:r>
      <w:r w:rsidR="004B6C47" w:rsidRPr="00B174D5">
        <w:rPr>
          <w:rFonts w:eastAsia="Times New Roman" w:cs="Times New Roman"/>
          <w:lang w:eastAsia="cs-CZ"/>
        </w:rPr>
        <w:t>SN.</w:t>
      </w:r>
    </w:p>
    <w:p w14:paraId="46F1124F" w14:textId="787BE8B6" w:rsidR="00D85C5B" w:rsidRPr="004B6C47" w:rsidRDefault="00D85C5B" w:rsidP="004B6C47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4B6C4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0B0622CC" w:rsidR="00C24C30" w:rsidRPr="001C5954" w:rsidRDefault="001C5954" w:rsidP="0079254B">
      <w:pPr>
        <w:pStyle w:val="Odstavecseseznamem"/>
        <w:widowControl w:val="0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Cena předmětu koupě je uvedena v příloze č. </w:t>
      </w:r>
      <w:r>
        <w:rPr>
          <w:rFonts w:eastAsia="Times New Roman" w:cs="Times New Roman"/>
          <w:lang w:eastAsia="cs-CZ"/>
        </w:rPr>
        <w:t>3</w:t>
      </w:r>
      <w:r w:rsidRPr="001C5954">
        <w:rPr>
          <w:rFonts w:eastAsia="Times New Roman" w:cs="Times New Roman"/>
          <w:lang w:eastAsia="cs-CZ"/>
        </w:rPr>
        <w:t xml:space="preserve"> této Smlouvy</w:t>
      </w:r>
      <w:r w:rsidR="00C24C30" w:rsidRPr="001C5954">
        <w:rPr>
          <w:rFonts w:eastAsia="Times New Roman" w:cs="Times New Roman"/>
          <w:lang w:eastAsia="cs-CZ"/>
        </w:rPr>
        <w:t>.</w:t>
      </w:r>
    </w:p>
    <w:p w14:paraId="47A205F7" w14:textId="37D8748C" w:rsidR="002B20CA" w:rsidRPr="001C5954" w:rsidRDefault="007F5EC4" w:rsidP="0079254B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1C5954">
        <w:rPr>
          <w:rFonts w:eastAsia="Times New Roman" w:cs="Times New Roman"/>
          <w:lang w:eastAsia="cs-CZ"/>
        </w:rPr>
        <w:t>Sml</w:t>
      </w:r>
      <w:r w:rsidRPr="001C5954">
        <w:rPr>
          <w:rFonts w:eastAsia="Times New Roman" w:cs="Times New Roman"/>
          <w:lang w:eastAsia="cs-CZ"/>
        </w:rPr>
        <w:t>uvními stranami</w:t>
      </w:r>
      <w:r w:rsidR="002B20CA" w:rsidRPr="001C5954"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C1C35B8" w14:textId="205B223D" w:rsidR="001C5954" w:rsidRPr="006D523E" w:rsidRDefault="00D85C5B" w:rsidP="0079254B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Míst</w:t>
      </w:r>
      <w:r w:rsidR="0000462B">
        <w:rPr>
          <w:rFonts w:eastAsia="Times New Roman" w:cs="Times New Roman"/>
          <w:lang w:eastAsia="cs-CZ"/>
        </w:rPr>
        <w:t>em</w:t>
      </w:r>
      <w:r w:rsidRPr="006D523E">
        <w:rPr>
          <w:rFonts w:eastAsia="Times New Roman" w:cs="Times New Roman"/>
          <w:lang w:eastAsia="cs-CZ"/>
        </w:rPr>
        <w:t xml:space="preserve"> dodání j</w:t>
      </w:r>
      <w:r w:rsidR="0000462B">
        <w:rPr>
          <w:rFonts w:eastAsia="Times New Roman" w:cs="Times New Roman"/>
          <w:lang w:eastAsia="cs-CZ"/>
        </w:rPr>
        <w:t xml:space="preserve">e JPO </w:t>
      </w:r>
      <w:r w:rsidR="00085B33">
        <w:rPr>
          <w:rFonts w:eastAsia="Times New Roman" w:cs="Times New Roman"/>
          <w:lang w:eastAsia="cs-CZ"/>
        </w:rPr>
        <w:t>Nymburk</w:t>
      </w:r>
      <w:r w:rsidR="0000462B">
        <w:rPr>
          <w:rFonts w:eastAsia="Times New Roman" w:cs="Times New Roman"/>
          <w:lang w:eastAsia="cs-CZ"/>
        </w:rPr>
        <w:t xml:space="preserve">, </w:t>
      </w:r>
      <w:r w:rsidR="00085B33">
        <w:rPr>
          <w:rFonts w:eastAsia="Times New Roman" w:cs="Times New Roman"/>
          <w:lang w:eastAsia="cs-CZ"/>
        </w:rPr>
        <w:t>Boleslavská 418</w:t>
      </w:r>
      <w:r w:rsidR="0000462B">
        <w:rPr>
          <w:rFonts w:eastAsia="Times New Roman" w:cs="Times New Roman"/>
          <w:lang w:eastAsia="cs-CZ"/>
        </w:rPr>
        <w:t xml:space="preserve">, </w:t>
      </w:r>
      <w:r w:rsidR="00085B33">
        <w:rPr>
          <w:rFonts w:eastAsia="Times New Roman" w:cs="Times New Roman"/>
          <w:lang w:eastAsia="cs-CZ"/>
        </w:rPr>
        <w:t>Nymburk</w:t>
      </w:r>
      <w:r w:rsidR="0000462B">
        <w:rPr>
          <w:rFonts w:eastAsia="Times New Roman" w:cs="Times New Roman"/>
          <w:lang w:eastAsia="cs-CZ"/>
        </w:rPr>
        <w:t>.</w:t>
      </w:r>
    </w:p>
    <w:p w14:paraId="5115D35D" w14:textId="5CC4571A" w:rsidR="00D85C5B" w:rsidRPr="006D523E" w:rsidRDefault="00D85C5B" w:rsidP="0079254B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 xml:space="preserve">Předmět koupě bude dodán do </w:t>
      </w:r>
      <w:r w:rsidR="0000462B">
        <w:rPr>
          <w:rFonts w:eastAsia="Times New Roman" w:cs="Times New Roman"/>
          <w:lang w:eastAsia="cs-CZ"/>
        </w:rPr>
        <w:t>1</w:t>
      </w:r>
      <w:r w:rsidR="006D523E" w:rsidRPr="006D523E">
        <w:rPr>
          <w:rFonts w:eastAsia="Times New Roman" w:cs="Times New Roman"/>
          <w:lang w:eastAsia="cs-CZ"/>
        </w:rPr>
        <w:t xml:space="preserve">2 </w:t>
      </w:r>
      <w:r w:rsidR="00085B33">
        <w:rPr>
          <w:rFonts w:eastAsia="Times New Roman" w:cs="Times New Roman"/>
          <w:lang w:eastAsia="cs-CZ"/>
        </w:rPr>
        <w:t>týdnů</w:t>
      </w:r>
      <w:r w:rsidR="006D523E" w:rsidRPr="006D523E">
        <w:rPr>
          <w:rFonts w:eastAsia="Times New Roman" w:cs="Times New Roman"/>
          <w:lang w:eastAsia="cs-CZ"/>
        </w:rPr>
        <w:t xml:space="preserve"> od nabytí účinnosti kupní Smlouvy</w:t>
      </w:r>
      <w:r w:rsidRPr="006D523E">
        <w:rPr>
          <w:rFonts w:eastAsia="Times New Roman" w:cs="Times New Roman"/>
          <w:lang w:eastAsia="cs-CZ"/>
        </w:rPr>
        <w:t>.</w:t>
      </w:r>
    </w:p>
    <w:p w14:paraId="4D5A70EC" w14:textId="77777777" w:rsidR="00D85C5B" w:rsidRPr="006D523E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6D523E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523E" w:rsidRDefault="00D85C5B" w:rsidP="0079254B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D523E" w:rsidRDefault="00D85C5B" w:rsidP="0079254B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lastRenderedPageBreak/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62BF7D08" w14:textId="77777777" w:rsidR="006D523E" w:rsidRPr="00D20B8D" w:rsidRDefault="006D523E" w:rsidP="006D523E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20B8D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672C8494" w14:textId="2ED7E4EE" w:rsidR="006D523E" w:rsidRPr="000C6351" w:rsidRDefault="006D523E" w:rsidP="006D523E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6351">
        <w:rPr>
          <w:rFonts w:eastAsia="Times New Roman" w:cs="Times New Roman"/>
          <w:lang w:eastAsia="cs-CZ"/>
        </w:rPr>
        <w:t>Předávací protokoly,</w:t>
      </w:r>
    </w:p>
    <w:p w14:paraId="4434F19F" w14:textId="77777777" w:rsidR="00F03C83" w:rsidRPr="0043287B" w:rsidRDefault="00F03C83" w:rsidP="00F03C83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3287B">
        <w:rPr>
          <w:rFonts w:eastAsia="Times New Roman" w:cs="Times New Roman"/>
          <w:lang w:eastAsia="cs-CZ"/>
        </w:rPr>
        <w:t>Záruční listy,</w:t>
      </w:r>
    </w:p>
    <w:p w14:paraId="43361C8A" w14:textId="05FBF974" w:rsidR="00F03C83" w:rsidRPr="008665B3" w:rsidRDefault="00F03C83" w:rsidP="008665B3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64454">
        <w:rPr>
          <w:rFonts w:eastAsia="Times New Roman" w:cs="Times New Roman"/>
          <w:lang w:eastAsia="cs-CZ"/>
        </w:rPr>
        <w:t>Dokumentace a návody k použití a obsluze v českém jazyce,</w:t>
      </w:r>
    </w:p>
    <w:p w14:paraId="4B70C07C" w14:textId="77777777" w:rsidR="00D85C5B" w:rsidRPr="006D523E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6D523E">
        <w:rPr>
          <w:rFonts w:eastAsia="Times New Roman"/>
          <w:lang w:eastAsia="cs-CZ"/>
        </w:rPr>
        <w:t>Záruka</w:t>
      </w:r>
    </w:p>
    <w:p w14:paraId="6AF415A5" w14:textId="77777777" w:rsidR="009146AF" w:rsidRPr="006D523E" w:rsidRDefault="009146AF" w:rsidP="0079254B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Záruční doba činí 24 měsíců.</w:t>
      </w:r>
    </w:p>
    <w:p w14:paraId="2097C982" w14:textId="2E9D7B68" w:rsidR="00A33BB9" w:rsidRDefault="00A33BB9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23D129FD" w14:textId="0788AB32" w:rsidR="00FE7F9C" w:rsidRDefault="00A33BB9" w:rsidP="00FE7F9C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6D523E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6D523E">
        <w:rPr>
          <w:rFonts w:eastAsia="Times New Roman" w:cs="Times New Roman"/>
          <w:b w:val="0"/>
          <w:u w:val="none"/>
          <w:lang w:eastAsia="cs-CZ"/>
        </w:rPr>
        <w:t>Koupě</w:t>
      </w:r>
      <w:r w:rsidRPr="006D523E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</w:t>
      </w:r>
      <w:r w:rsidR="00FE7F9C" w:rsidRPr="008E5A7B">
        <w:rPr>
          <w:rFonts w:eastAsia="Times New Roman" w:cs="Times New Roman"/>
          <w:b w:val="0"/>
          <w:highlight w:val="green"/>
          <w:u w:val="none"/>
          <w:lang w:eastAsia="cs-CZ"/>
        </w:rPr>
        <w:t>příloze č. 4 této Smlouvy</w:t>
      </w:r>
      <w:r w:rsidR="00FE7F9C" w:rsidRPr="006D523E">
        <w:rPr>
          <w:rFonts w:eastAsia="Times New Roman" w:cs="Times New Roman"/>
          <w:b w:val="0"/>
          <w:u w:val="none"/>
          <w:lang w:eastAsia="cs-CZ"/>
        </w:rPr>
        <w:t xml:space="preserve">.  </w:t>
      </w:r>
    </w:p>
    <w:p w14:paraId="2A448E60" w14:textId="77777777" w:rsidR="00FE7F9C" w:rsidRPr="002A5415" w:rsidRDefault="00FE7F9C" w:rsidP="00FE7F9C">
      <w:pPr>
        <w:ind w:left="709" w:hanging="1"/>
        <w:rPr>
          <w:lang w:eastAsia="cs-CZ"/>
        </w:rPr>
      </w:pPr>
      <w:r w:rsidRPr="008E5A7B">
        <w:rPr>
          <w:highlight w:val="green"/>
          <w:lang w:eastAsia="cs-CZ"/>
        </w:rPr>
        <w:t>(jestliže se na provedení nebudou podílet poddodavatelé, Prodávající do bodu 7.1 napíše: „Na provedení Koupě se nebudou podílet poddodavatelé a vymaže tuto položku ze seznamu příloh).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6D523E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ujišťuje Kupujícího, že Předmět koupě je prostý všech vad, jak právních, tak </w:t>
      </w:r>
      <w:r w:rsidRPr="006D523E">
        <w:rPr>
          <w:rFonts w:eastAsia="Times New Roman" w:cs="Times New Roman"/>
          <w:b w:val="0"/>
          <w:u w:val="none"/>
          <w:lang w:eastAsia="cs-CZ"/>
        </w:rPr>
        <w:t>faktických.</w:t>
      </w:r>
    </w:p>
    <w:p w14:paraId="6C11DF1B" w14:textId="4EF1A317" w:rsidR="00D85C5B" w:rsidRPr="006D523E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6D523E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6D523E">
        <w:rPr>
          <w:rFonts w:eastAsia="Times New Roman" w:cs="Times New Roman"/>
          <w:b w:val="0"/>
          <w:u w:val="none"/>
          <w:lang w:eastAsia="cs-CZ"/>
        </w:rPr>
        <w:t>Sml</w:t>
      </w:r>
      <w:r w:rsidRPr="006D523E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181B245A" w:rsidR="00D85C5B" w:rsidRPr="004E19DE" w:rsidRDefault="00D85C5B" w:rsidP="0032283B">
      <w:pPr>
        <w:widowControl w:val="0"/>
        <w:spacing w:after="0" w:line="240" w:lineRule="auto"/>
        <w:ind w:left="1417" w:hanging="709"/>
        <w:contextualSpacing/>
        <w:jc w:val="both"/>
        <w:rPr>
          <w:rFonts w:eastAsia="Times New Roman" w:cs="Times New Roman"/>
          <w:highlight w:val="yellow"/>
          <w:lang w:eastAsia="cs-CZ"/>
        </w:rPr>
      </w:pPr>
      <w:r w:rsidRPr="006D523E">
        <w:rPr>
          <w:rFonts w:eastAsia="Times New Roman" w:cs="Times New Roman"/>
          <w:lang w:eastAsia="cs-CZ"/>
        </w:rPr>
        <w:t xml:space="preserve">za Kupujícího </w:t>
      </w:r>
      <w:r w:rsidR="006D523E" w:rsidRPr="006D523E">
        <w:rPr>
          <w:rFonts w:eastAsia="Times New Roman" w:cs="Times New Roman"/>
          <w:lang w:eastAsia="cs-CZ"/>
        </w:rPr>
        <w:t>p.</w:t>
      </w:r>
      <w:r w:rsidR="0032283B">
        <w:rPr>
          <w:rFonts w:eastAsia="Times New Roman" w:cs="Times New Roman"/>
          <w:lang w:eastAsia="cs-CZ"/>
        </w:rPr>
        <w:t xml:space="preserve"> </w:t>
      </w:r>
      <w:r w:rsidR="0032283B" w:rsidRPr="006D523E">
        <w:rPr>
          <w:rFonts w:eastAsia="Times New Roman" w:cs="Times New Roman"/>
          <w:lang w:eastAsia="cs-CZ"/>
        </w:rPr>
        <w:t>.</w:t>
      </w:r>
      <w:r w:rsidR="0032283B">
        <w:rPr>
          <w:rFonts w:eastAsia="Times New Roman" w:cs="Times New Roman"/>
          <w:lang w:eastAsia="cs-CZ"/>
        </w:rPr>
        <w:t xml:space="preserve"> …</w:t>
      </w:r>
      <w:r w:rsidR="0032283B" w:rsidRPr="006D523E">
        <w:rPr>
          <w:rFonts w:eastAsia="Times New Roman" w:cs="Times New Roman"/>
          <w:lang w:eastAsia="cs-CZ"/>
        </w:rPr>
        <w:t>, tel.</w:t>
      </w:r>
      <w:r w:rsidR="0032283B">
        <w:rPr>
          <w:rFonts w:eastAsia="Times New Roman" w:cs="Times New Roman"/>
          <w:lang w:eastAsia="cs-CZ"/>
        </w:rPr>
        <w:t xml:space="preserve"> …</w:t>
      </w:r>
      <w:r w:rsidR="0032283B" w:rsidRPr="006D523E">
        <w:rPr>
          <w:rFonts w:eastAsia="Times New Roman" w:cs="Times New Roman"/>
          <w:lang w:eastAsia="cs-CZ"/>
        </w:rPr>
        <w:t>, email</w:t>
      </w:r>
      <w:r w:rsidR="0032283B">
        <w:rPr>
          <w:rFonts w:eastAsia="Times New Roman" w:cs="Times New Roman"/>
          <w:lang w:eastAsia="cs-CZ"/>
        </w:rPr>
        <w:t xml:space="preserve"> …</w:t>
      </w:r>
      <w:r w:rsidR="0032283B" w:rsidRPr="00D26B2C">
        <w:rPr>
          <w:rFonts w:eastAsia="Times New Roman" w:cs="Times New Roman"/>
          <w:lang w:eastAsia="cs-CZ"/>
        </w:rPr>
        <w:t xml:space="preserve"> </w:t>
      </w:r>
      <w:r w:rsidR="0032283B">
        <w:rPr>
          <w:rFonts w:ascii="Verdana" w:hAnsi="Verdana" w:cstheme="minorHAnsi"/>
          <w:highlight w:val="yellow"/>
        </w:rPr>
        <w:t>[DOPLNÍ KUPUJÍCÍ PŘI PODPISU SMLOUVY</w:t>
      </w:r>
      <w:r w:rsidR="0032283B" w:rsidRPr="00633D18">
        <w:rPr>
          <w:rFonts w:ascii="Verdana" w:hAnsi="Verdana" w:cstheme="minorHAnsi"/>
          <w:highlight w:val="yellow"/>
        </w:rPr>
        <w:t>]</w:t>
      </w:r>
      <w:r w:rsidR="0032283B" w:rsidRPr="00D26B2C">
        <w:rPr>
          <w:rFonts w:eastAsia="Times New Roman" w:cs="Times New Roman"/>
          <w:lang w:eastAsia="cs-CZ"/>
        </w:rPr>
        <w:t>,</w:t>
      </w:r>
    </w:p>
    <w:p w14:paraId="5FEEEEAB" w14:textId="18874129" w:rsidR="00D85C5B" w:rsidRPr="000C5DA0" w:rsidRDefault="00D85C5B" w:rsidP="0079254B">
      <w:pPr>
        <w:widowControl w:val="0"/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6D523E">
        <w:rPr>
          <w:rFonts w:eastAsia="Times New Roman" w:cs="Times New Roman"/>
          <w:lang w:eastAsia="cs-CZ"/>
        </w:rPr>
        <w:t>za Prodávajícího p.</w:t>
      </w:r>
      <w:r w:rsidR="006D523E">
        <w:rPr>
          <w:rFonts w:eastAsia="Times New Roman" w:cs="Times New Roman"/>
          <w:lang w:eastAsia="cs-CZ"/>
        </w:rPr>
        <w:t xml:space="preserve"> …, tel. …, email. …</w:t>
      </w:r>
      <w:r w:rsidRPr="006D523E">
        <w:rPr>
          <w:rFonts w:eastAsia="Times New Roman" w:cs="Times New Roman"/>
          <w:lang w:eastAsia="cs-CZ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ust.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79254B">
      <w:pPr>
        <w:pStyle w:val="Nadpis1"/>
        <w:widowControl w:val="0"/>
        <w:numPr>
          <w:ilvl w:val="0"/>
          <w:numId w:val="12"/>
        </w:numPr>
        <w:suppressAutoHyphens w:val="0"/>
        <w:spacing w:before="0" w:after="0" w:line="240" w:lineRule="auto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79254B">
      <w:pPr>
        <w:pStyle w:val="Nadpis1"/>
        <w:widowControl w:val="0"/>
        <w:numPr>
          <w:ilvl w:val="0"/>
          <w:numId w:val="12"/>
        </w:numPr>
        <w:suppressAutoHyphens w:val="0"/>
        <w:spacing w:before="0" w:after="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392CE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6D523E">
        <w:rPr>
          <w:b w:val="0"/>
          <w:u w:val="none"/>
          <w:lang w:eastAsia="cs-CZ"/>
        </w:rPr>
        <w:t xml:space="preserve">výši </w:t>
      </w:r>
      <w:r w:rsidR="00AA52E0" w:rsidRPr="006D523E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0ED8B355" w14:textId="77777777" w:rsidR="00392CEB" w:rsidRDefault="00392CEB" w:rsidP="00392CE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2A647CAD" w14:textId="77777777" w:rsidR="00392CEB" w:rsidRDefault="00392CEB" w:rsidP="00392CEB">
      <w:pPr>
        <w:pStyle w:val="Styl1"/>
        <w:numPr>
          <w:ilvl w:val="1"/>
          <w:numId w:val="5"/>
        </w:numPr>
        <w:ind w:left="680" w:hanging="680"/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</w:t>
      </w:r>
      <w:r>
        <w:lastRenderedPageBreak/>
        <w:t>hodnotami a cíli compliance programů a etických hodnot druhé smluvní strany, pakliže těmito dokumenty dotčené smluvní strany disponují, a jsou uveřejněny na webových stránkách smluvních stran (společností).</w:t>
      </w:r>
    </w:p>
    <w:p w14:paraId="6C0FC68C" w14:textId="77777777" w:rsidR="00392CEB" w:rsidRDefault="00392CEB" w:rsidP="00392CEB">
      <w:pPr>
        <w:pStyle w:val="Styl1"/>
        <w:numPr>
          <w:ilvl w:val="1"/>
          <w:numId w:val="5"/>
        </w:numPr>
        <w:ind w:left="680" w:hanging="680"/>
      </w:pPr>
      <w:r>
        <w:t>Správa železnic, státní organizace, má výše uvedené dokumenty k dispozici na webových stránkách: https://www.spravazeleznic.cz/o-nas/nazadouci-jednani-a-boj-s-korupci.</w:t>
      </w:r>
    </w:p>
    <w:p w14:paraId="07A0C53D" w14:textId="6E805AE5" w:rsidR="00392CEB" w:rsidRPr="00392CEB" w:rsidRDefault="00392CEB" w:rsidP="00392CEB">
      <w:pPr>
        <w:pStyle w:val="Styl1"/>
        <w:numPr>
          <w:ilvl w:val="1"/>
          <w:numId w:val="5"/>
        </w:numPr>
        <w:ind w:left="680" w:hanging="680"/>
      </w:pPr>
      <w:r>
        <w:t>Prodávající má výše uvedené dokumenty k dispozici na webových stránkách:</w:t>
      </w:r>
      <w:r w:rsidRPr="00392CEB">
        <w:rPr>
          <w:rFonts w:ascii="Verdana" w:hAnsi="Verdana"/>
          <w:highlight w:val="green"/>
        </w:rPr>
        <w:t xml:space="preserve"> </w:t>
      </w:r>
      <w:r w:rsidRPr="00E21B35">
        <w:rPr>
          <w:rFonts w:ascii="Verdana" w:hAnsi="Verdana"/>
          <w:highlight w:val="green"/>
        </w:rPr>
        <w:t xml:space="preserve">[DOPLNÍ </w:t>
      </w:r>
      <w:r w:rsidRPr="00167458">
        <w:rPr>
          <w:rFonts w:ascii="Verdana" w:hAnsi="Verdana"/>
          <w:highlight w:val="green"/>
        </w:rPr>
        <w:t>PRODÁVAJÍCÍ</w:t>
      </w:r>
      <w:r w:rsidR="00167458" w:rsidRPr="00167458">
        <w:rPr>
          <w:highlight w:val="green"/>
        </w:rPr>
        <w:t xml:space="preserve"> </w:t>
      </w:r>
      <w:r w:rsidR="00167458" w:rsidRPr="00167458">
        <w:rPr>
          <w:rFonts w:ascii="Verdana" w:hAnsi="Verdana"/>
          <w:highlight w:val="green"/>
        </w:rPr>
        <w:t>x nemá-li Prodávající výše uvedené dokumenty, celý bod 10.3 odstraní]</w:t>
      </w:r>
      <w:r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B4EC7CA" w14:textId="57AC4A07" w:rsidR="00D85C5B" w:rsidRPr="000C5DA0" w:rsidRDefault="00D85C5B" w:rsidP="0079254B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79254B">
      <w:pPr>
        <w:pStyle w:val="Nadpis1"/>
        <w:widowControl w:val="0"/>
        <w:numPr>
          <w:ilvl w:val="2"/>
          <w:numId w:val="5"/>
        </w:numPr>
        <w:suppressAutoHyphens w:val="0"/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79254B">
      <w:pPr>
        <w:pStyle w:val="Nadpis1"/>
        <w:widowControl w:val="0"/>
        <w:numPr>
          <w:ilvl w:val="2"/>
          <w:numId w:val="5"/>
        </w:numPr>
        <w:suppressAutoHyphens w:val="0"/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243E6C2A" w:rsidR="00D85C5B" w:rsidRPr="009146AF" w:rsidRDefault="00FB5045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mlouvu lze měnit pouze písemnými </w:t>
      </w:r>
      <w:r w:rsidR="007435A1">
        <w:rPr>
          <w:rFonts w:eastAsia="Times New Roman" w:cs="Times New Roman"/>
          <w:b w:val="0"/>
          <w:u w:val="none"/>
          <w:lang w:eastAsia="cs-CZ"/>
        </w:rPr>
        <w:t xml:space="preserve">vzestupně číslovanými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dodatky.</w:t>
      </w:r>
    </w:p>
    <w:p w14:paraId="528A6A77" w14:textId="384BF17C" w:rsidR="00D85C5B" w:rsidRPr="009146AF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6D523E" w:rsidRDefault="00D85C5B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6D523E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6D523E" w:rsidRDefault="008B1447" w:rsidP="0079254B">
      <w:pPr>
        <w:pStyle w:val="Nadpis1"/>
        <w:widowControl w:val="0"/>
        <w:numPr>
          <w:ilvl w:val="1"/>
          <w:numId w:val="5"/>
        </w:numPr>
        <w:suppressAutoHyphens w:val="0"/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6D523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6D523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6D523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6D523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03AECE4" w14:textId="415614AF" w:rsidR="008F2302" w:rsidRDefault="008F230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F2302">
        <w:rPr>
          <w:rFonts w:eastAsia="Times New Roman" w:cs="Times New Roman"/>
          <w:lang w:eastAsia="cs-CZ"/>
        </w:rPr>
        <w:t xml:space="preserve">Příloha č. 1: </w:t>
      </w:r>
      <w:r w:rsidRPr="008F2302">
        <w:rPr>
          <w:rFonts w:eastAsia="Times New Roman" w:cs="Times New Roman"/>
          <w:lang w:eastAsia="cs-CZ"/>
        </w:rPr>
        <w:tab/>
        <w:t>Obchodní podmínky ke Kupní smlouvě</w:t>
      </w:r>
    </w:p>
    <w:p w14:paraId="459A4A7A" w14:textId="3BA2BA83" w:rsidR="00D85C5B" w:rsidRPr="001C5954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příloha č. </w:t>
      </w:r>
      <w:r w:rsidR="00013A77" w:rsidRPr="001C5954">
        <w:rPr>
          <w:rFonts w:eastAsia="Times New Roman" w:cs="Times New Roman"/>
          <w:lang w:eastAsia="cs-CZ"/>
        </w:rPr>
        <w:t>2</w:t>
      </w:r>
      <w:r w:rsidRPr="001C5954">
        <w:rPr>
          <w:rFonts w:eastAsia="Times New Roman" w:cs="Times New Roman"/>
          <w:lang w:eastAsia="cs-CZ"/>
        </w:rPr>
        <w:t>:</w:t>
      </w:r>
      <w:r w:rsidRPr="001C5954">
        <w:rPr>
          <w:rFonts w:eastAsia="Times New Roman" w:cs="Times New Roman"/>
          <w:lang w:eastAsia="cs-CZ"/>
        </w:rPr>
        <w:tab/>
      </w:r>
      <w:r w:rsidR="008F2302" w:rsidRPr="001C5954">
        <w:rPr>
          <w:rFonts w:eastAsia="Times New Roman" w:cs="Times New Roman"/>
          <w:lang w:eastAsia="cs-CZ"/>
        </w:rPr>
        <w:t>S</w:t>
      </w:r>
      <w:r w:rsidRPr="001C5954">
        <w:rPr>
          <w:rFonts w:eastAsia="Times New Roman" w:cs="Times New Roman"/>
          <w:lang w:eastAsia="cs-CZ"/>
        </w:rPr>
        <w:t>pecifikace předmětu koupě</w:t>
      </w:r>
    </w:p>
    <w:p w14:paraId="46621F99" w14:textId="014B3FC8" w:rsidR="00CC1601" w:rsidRPr="001C5954" w:rsidRDefault="00CC1601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C5954">
        <w:rPr>
          <w:rFonts w:eastAsia="Times New Roman" w:cs="Times New Roman"/>
          <w:lang w:eastAsia="cs-CZ"/>
        </w:rPr>
        <w:t xml:space="preserve">příloha č. </w:t>
      </w:r>
      <w:r w:rsidR="00013A77" w:rsidRPr="001C5954">
        <w:rPr>
          <w:rFonts w:eastAsia="Times New Roman" w:cs="Times New Roman"/>
          <w:lang w:eastAsia="cs-CZ"/>
        </w:rPr>
        <w:t>3</w:t>
      </w:r>
      <w:r w:rsidRPr="001C5954">
        <w:rPr>
          <w:rFonts w:eastAsia="Times New Roman" w:cs="Times New Roman"/>
          <w:lang w:eastAsia="cs-CZ"/>
        </w:rPr>
        <w:t>:</w:t>
      </w:r>
      <w:r w:rsidRPr="001C5954">
        <w:rPr>
          <w:rFonts w:eastAsia="Times New Roman" w:cs="Times New Roman"/>
          <w:lang w:eastAsia="cs-CZ"/>
        </w:rPr>
        <w:tab/>
      </w:r>
      <w:r w:rsidR="008F2302" w:rsidRPr="001C5954">
        <w:rPr>
          <w:rFonts w:eastAsia="Times New Roman" w:cs="Times New Roman"/>
          <w:lang w:eastAsia="cs-CZ"/>
        </w:rPr>
        <w:t>O</w:t>
      </w:r>
      <w:r w:rsidRPr="001C5954">
        <w:rPr>
          <w:rFonts w:eastAsia="Times New Roman" w:cs="Times New Roman"/>
          <w:lang w:eastAsia="cs-CZ"/>
        </w:rPr>
        <w:t>ceněný položkový rozpočet</w:t>
      </w:r>
    </w:p>
    <w:p w14:paraId="2FD6FAAE" w14:textId="60C7BA7D" w:rsidR="001C5954" w:rsidRDefault="001C5954" w:rsidP="001C595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4</w:t>
      </w:r>
      <w:r w:rsidRPr="00C01906">
        <w:rPr>
          <w:rFonts w:eastAsia="Times New Roman" w:cs="Times New Roman"/>
          <w:highlight w:val="green"/>
          <w:lang w:eastAsia="cs-CZ"/>
        </w:rPr>
        <w:t>:</w:t>
      </w:r>
      <w:r w:rsidRPr="00C01906">
        <w:rPr>
          <w:rFonts w:eastAsia="Times New Roman" w:cs="Times New Roman"/>
          <w:highlight w:val="green"/>
          <w:lang w:eastAsia="cs-CZ"/>
        </w:rPr>
        <w:tab/>
      </w:r>
      <w:r w:rsidRPr="00C26F72">
        <w:rPr>
          <w:rFonts w:eastAsia="Times New Roman" w:cs="Times New Roman"/>
          <w:highlight w:val="green"/>
          <w:lang w:eastAsia="cs-CZ"/>
        </w:rPr>
        <w:t xml:space="preserve">Seznam </w:t>
      </w:r>
      <w:r w:rsidRPr="006B258D">
        <w:rPr>
          <w:rFonts w:eastAsia="Times New Roman" w:cs="Times New Roman"/>
          <w:highlight w:val="green"/>
          <w:lang w:eastAsia="cs-CZ"/>
        </w:rPr>
        <w:t>poddodavatelů</w:t>
      </w:r>
      <w:r>
        <w:rPr>
          <w:rFonts w:eastAsia="Times New Roman" w:cs="Times New Roman"/>
          <w:highlight w:val="green"/>
          <w:lang w:eastAsia="cs-CZ"/>
        </w:rPr>
        <w:t xml:space="preserve"> </w:t>
      </w:r>
      <w:r w:rsidRPr="00796A0B">
        <w:rPr>
          <w:rFonts w:asciiTheme="majorHAnsi" w:hAnsiTheme="majorHAnsi"/>
          <w:noProof/>
          <w:highlight w:val="green"/>
        </w:rPr>
        <w:t>[</w:t>
      </w:r>
      <w:r>
        <w:rPr>
          <w:rFonts w:eastAsia="Times New Roman" w:cs="Times New Roman"/>
          <w:highlight w:val="green"/>
          <w:lang w:eastAsia="cs-CZ"/>
        </w:rPr>
        <w:t>doplní Dodava</w:t>
      </w:r>
      <w:r w:rsidRPr="006B258D">
        <w:rPr>
          <w:rFonts w:eastAsia="Times New Roman" w:cs="Times New Roman"/>
          <w:highlight w:val="green"/>
          <w:lang w:eastAsia="cs-CZ"/>
        </w:rPr>
        <w:t>tel</w:t>
      </w:r>
      <w:r>
        <w:rPr>
          <w:rFonts w:eastAsia="Times New Roman" w:cs="Times New Roman"/>
          <w:highlight w:val="green"/>
          <w:lang w:eastAsia="cs-CZ"/>
        </w:rPr>
        <w:t xml:space="preserve"> vzor přílohy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55BA054" w14:textId="6211D765" w:rsidR="001C5954" w:rsidRPr="00593AE5" w:rsidRDefault="001C5954" w:rsidP="001C595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>
        <w:rPr>
          <w:rFonts w:eastAsia="Times New Roman" w:cs="Times New Roman"/>
          <w:highlight w:val="green"/>
          <w:lang w:eastAsia="cs-CZ"/>
        </w:rPr>
        <w:t>P</w:t>
      </w:r>
      <w:r w:rsidRPr="00593AE5">
        <w:rPr>
          <w:rFonts w:eastAsia="Times New Roman" w:cs="Times New Roman"/>
          <w:highlight w:val="green"/>
          <w:lang w:eastAsia="cs-CZ"/>
        </w:rPr>
        <w:t>lná moc (pouze v případě zastoupení prodávajícího osobou na základě plné moci)</w:t>
      </w:r>
    </w:p>
    <w:p w14:paraId="1416137A" w14:textId="1D71BFC7" w:rsidR="00033414" w:rsidRPr="00593AE5" w:rsidRDefault="00033414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56ED30B7" w14:textId="77777777" w:rsidR="00CB3AD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0C04FE0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0F417DA" w14:textId="77777777" w:rsidR="00CB3AD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A863271" w14:textId="77777777" w:rsidR="000018B7" w:rsidRDefault="000018B7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52024B1" w14:textId="77777777" w:rsidR="000018B7" w:rsidRPr="00221465" w:rsidRDefault="000018B7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F43D8FE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8E8571A" w14:textId="77777777" w:rsidR="00CB3AD5" w:rsidRPr="0022146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1942CC3A" w14:textId="3823E3D4" w:rsidR="00A349F7" w:rsidRPr="000018B7" w:rsidRDefault="00843A43" w:rsidP="000018B7">
      <w:pPr>
        <w:widowControl w:val="0"/>
        <w:spacing w:after="0" w:line="276" w:lineRule="auto"/>
        <w:rPr>
          <w:rFonts w:asciiTheme="majorHAnsi" w:hAnsiTheme="majorHAnsi"/>
        </w:rPr>
      </w:pPr>
      <w:r w:rsidRPr="00843A43">
        <w:rPr>
          <w:b/>
          <w:noProof/>
        </w:rPr>
        <w:t>JUDr. Jan Blecha</w:t>
      </w:r>
      <w:r>
        <w:rPr>
          <w:b/>
          <w:noProof/>
        </w:rPr>
        <w:tab/>
      </w:r>
      <w:r w:rsidR="00362B2C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796A0B">
        <w:rPr>
          <w:rFonts w:asciiTheme="majorHAnsi" w:hAnsiTheme="majorHAnsi"/>
          <w:noProof/>
          <w:highlight w:val="green"/>
        </w:rPr>
        <w:t>[</w:t>
      </w:r>
      <w:r w:rsidR="00CB3AD5"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="00CB3AD5" w:rsidRPr="00796A0B">
        <w:rPr>
          <w:rFonts w:asciiTheme="majorHAnsi" w:hAnsiTheme="majorHAnsi"/>
          <w:noProof/>
          <w:highlight w:val="green"/>
        </w:rPr>
        <w:t>]</w:t>
      </w:r>
      <w:r w:rsidR="00796A0B">
        <w:rPr>
          <w:rFonts w:asciiTheme="majorHAnsi" w:hAnsiTheme="majorHAnsi"/>
          <w:noProof/>
        </w:rPr>
        <w:br/>
      </w:r>
      <w:r w:rsidRPr="00843A43">
        <w:rPr>
          <w:rFonts w:asciiTheme="majorHAnsi" w:hAnsiTheme="majorHAnsi"/>
        </w:rPr>
        <w:t>ředitel Hasičského záchranného sboru</w:t>
      </w:r>
    </w:p>
    <w:sectPr w:rsidR="00A349F7" w:rsidRPr="000018B7" w:rsidSect="007629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E5CE3" w14:textId="77777777" w:rsidR="00F53CA7" w:rsidRDefault="00F53CA7" w:rsidP="00962258">
      <w:pPr>
        <w:spacing w:after="0" w:line="240" w:lineRule="auto"/>
      </w:pPr>
      <w:r>
        <w:separator/>
      </w:r>
    </w:p>
  </w:endnote>
  <w:endnote w:type="continuationSeparator" w:id="0">
    <w:p w14:paraId="2E02C474" w14:textId="77777777" w:rsidR="00F53CA7" w:rsidRDefault="00F53C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0F276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7ED0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F1856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4E93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FA142" w14:textId="77777777" w:rsidR="00F53CA7" w:rsidRDefault="00F53CA7" w:rsidP="00962258">
      <w:pPr>
        <w:spacing w:after="0" w:line="240" w:lineRule="auto"/>
      </w:pPr>
      <w:r>
        <w:separator/>
      </w:r>
    </w:p>
  </w:footnote>
  <w:footnote w:type="continuationSeparator" w:id="0">
    <w:p w14:paraId="0B8D90B4" w14:textId="77777777" w:rsidR="00F53CA7" w:rsidRDefault="00F53C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A93F" w14:textId="22A9EDEE" w:rsidR="00F1715C" w:rsidRDefault="00F1715C" w:rsidP="00362B2C">
    <w:pPr>
      <w:pStyle w:val="Zhlav"/>
      <w:jc w:val="center"/>
      <w:rPr>
        <w:sz w:val="8"/>
        <w:szCs w:val="8"/>
      </w:rPr>
    </w:pPr>
  </w:p>
  <w:p w14:paraId="60CC970B" w14:textId="77777777" w:rsidR="00362B2C" w:rsidRDefault="00362B2C" w:rsidP="00362B2C">
    <w:pPr>
      <w:pStyle w:val="Zhlav"/>
      <w:jc w:val="center"/>
      <w:rPr>
        <w:sz w:val="8"/>
        <w:szCs w:val="8"/>
      </w:rPr>
    </w:pPr>
  </w:p>
  <w:p w14:paraId="4DC43A41" w14:textId="77777777" w:rsidR="00362B2C" w:rsidRDefault="00362B2C" w:rsidP="00362B2C">
    <w:pPr>
      <w:pStyle w:val="Zhlav"/>
      <w:jc w:val="center"/>
      <w:rPr>
        <w:sz w:val="8"/>
        <w:szCs w:val="8"/>
      </w:rPr>
    </w:pPr>
  </w:p>
  <w:p w14:paraId="0318FC5D" w14:textId="77777777" w:rsidR="00362B2C" w:rsidRPr="00D6163D" w:rsidRDefault="00362B2C" w:rsidP="00362B2C">
    <w:pPr>
      <w:pStyle w:val="Zhlav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762921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2121925447" name="Obrázek 21219254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753010E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CD41EB6"/>
    <w:multiLevelType w:val="hybridMultilevel"/>
    <w:tmpl w:val="A7EEF99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9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816994591">
    <w:abstractNumId w:val="7"/>
  </w:num>
  <w:num w:numId="18" w16cid:durableId="18269738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8B7"/>
    <w:rsid w:val="0000462B"/>
    <w:rsid w:val="00013A77"/>
    <w:rsid w:val="00033414"/>
    <w:rsid w:val="00054D01"/>
    <w:rsid w:val="00065284"/>
    <w:rsid w:val="00072C1E"/>
    <w:rsid w:val="00085B33"/>
    <w:rsid w:val="00092B31"/>
    <w:rsid w:val="000A5092"/>
    <w:rsid w:val="000C5DA0"/>
    <w:rsid w:val="000C6351"/>
    <w:rsid w:val="000D1379"/>
    <w:rsid w:val="000D4601"/>
    <w:rsid w:val="000E23A7"/>
    <w:rsid w:val="000E4F4B"/>
    <w:rsid w:val="000F633E"/>
    <w:rsid w:val="000F674A"/>
    <w:rsid w:val="0010693F"/>
    <w:rsid w:val="00111360"/>
    <w:rsid w:val="00114472"/>
    <w:rsid w:val="00117F03"/>
    <w:rsid w:val="001261BB"/>
    <w:rsid w:val="001550BC"/>
    <w:rsid w:val="001605B9"/>
    <w:rsid w:val="00164A12"/>
    <w:rsid w:val="00167458"/>
    <w:rsid w:val="00170EC5"/>
    <w:rsid w:val="001747C1"/>
    <w:rsid w:val="00176797"/>
    <w:rsid w:val="00177018"/>
    <w:rsid w:val="001813BF"/>
    <w:rsid w:val="00184743"/>
    <w:rsid w:val="001861B8"/>
    <w:rsid w:val="00193E38"/>
    <w:rsid w:val="001A3602"/>
    <w:rsid w:val="001B540F"/>
    <w:rsid w:val="001C22E7"/>
    <w:rsid w:val="001C4874"/>
    <w:rsid w:val="001C595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23B0"/>
    <w:rsid w:val="002C31BF"/>
    <w:rsid w:val="002C400D"/>
    <w:rsid w:val="002D08B1"/>
    <w:rsid w:val="002E0CD7"/>
    <w:rsid w:val="00306A57"/>
    <w:rsid w:val="003119BE"/>
    <w:rsid w:val="00313B21"/>
    <w:rsid w:val="00317167"/>
    <w:rsid w:val="00322681"/>
    <w:rsid w:val="0032283B"/>
    <w:rsid w:val="003330E9"/>
    <w:rsid w:val="00341DCF"/>
    <w:rsid w:val="00346E96"/>
    <w:rsid w:val="00357BC6"/>
    <w:rsid w:val="00362B2C"/>
    <w:rsid w:val="0038167B"/>
    <w:rsid w:val="00385A72"/>
    <w:rsid w:val="00392CEB"/>
    <w:rsid w:val="003956C6"/>
    <w:rsid w:val="003A63EE"/>
    <w:rsid w:val="003A7A56"/>
    <w:rsid w:val="003B39EC"/>
    <w:rsid w:val="003D06BE"/>
    <w:rsid w:val="0041746F"/>
    <w:rsid w:val="0043287B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B6C47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C43"/>
    <w:rsid w:val="005736B7"/>
    <w:rsid w:val="00573F5F"/>
    <w:rsid w:val="00575E5A"/>
    <w:rsid w:val="0059132F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523E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35A1"/>
    <w:rsid w:val="0074484D"/>
    <w:rsid w:val="007576A4"/>
    <w:rsid w:val="0076286B"/>
    <w:rsid w:val="00762921"/>
    <w:rsid w:val="00766846"/>
    <w:rsid w:val="0077261C"/>
    <w:rsid w:val="0077673A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43A43"/>
    <w:rsid w:val="008659F3"/>
    <w:rsid w:val="008665B3"/>
    <w:rsid w:val="00886D4B"/>
    <w:rsid w:val="008905AC"/>
    <w:rsid w:val="00893FF1"/>
    <w:rsid w:val="00895406"/>
    <w:rsid w:val="00896896"/>
    <w:rsid w:val="008A3568"/>
    <w:rsid w:val="008B1447"/>
    <w:rsid w:val="008D03B9"/>
    <w:rsid w:val="008D6B46"/>
    <w:rsid w:val="008E2A34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4C8D"/>
    <w:rsid w:val="009B14A9"/>
    <w:rsid w:val="009B2E97"/>
    <w:rsid w:val="009D5BC0"/>
    <w:rsid w:val="009E07F4"/>
    <w:rsid w:val="009E7614"/>
    <w:rsid w:val="009F392E"/>
    <w:rsid w:val="00A24EC2"/>
    <w:rsid w:val="00A33BB9"/>
    <w:rsid w:val="00A349F7"/>
    <w:rsid w:val="00A453A2"/>
    <w:rsid w:val="00A526E3"/>
    <w:rsid w:val="00A606A7"/>
    <w:rsid w:val="00A6177B"/>
    <w:rsid w:val="00A66136"/>
    <w:rsid w:val="00A717C2"/>
    <w:rsid w:val="00A87725"/>
    <w:rsid w:val="00A91C7A"/>
    <w:rsid w:val="00A96888"/>
    <w:rsid w:val="00AA4CBB"/>
    <w:rsid w:val="00AA52E0"/>
    <w:rsid w:val="00AA65FA"/>
    <w:rsid w:val="00AA7351"/>
    <w:rsid w:val="00AB201E"/>
    <w:rsid w:val="00AD056F"/>
    <w:rsid w:val="00AD6731"/>
    <w:rsid w:val="00B03CF9"/>
    <w:rsid w:val="00B15D0D"/>
    <w:rsid w:val="00B174D5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2984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07B0"/>
    <w:rsid w:val="00D043A4"/>
    <w:rsid w:val="00D126E0"/>
    <w:rsid w:val="00D21061"/>
    <w:rsid w:val="00D24C92"/>
    <w:rsid w:val="00D36EA8"/>
    <w:rsid w:val="00D37801"/>
    <w:rsid w:val="00D4108E"/>
    <w:rsid w:val="00D53CB9"/>
    <w:rsid w:val="00D6163D"/>
    <w:rsid w:val="00D64454"/>
    <w:rsid w:val="00D6524B"/>
    <w:rsid w:val="00D676D5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B1D5C"/>
    <w:rsid w:val="00ED14BD"/>
    <w:rsid w:val="00F010DC"/>
    <w:rsid w:val="00F02E2E"/>
    <w:rsid w:val="00F03C83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3CA7"/>
    <w:rsid w:val="00F63543"/>
    <w:rsid w:val="00F659EB"/>
    <w:rsid w:val="00F86BA6"/>
    <w:rsid w:val="00FB5045"/>
    <w:rsid w:val="00FC6389"/>
    <w:rsid w:val="00FD56DD"/>
    <w:rsid w:val="00FE7CC1"/>
    <w:rsid w:val="00FE7F9C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Styl1">
    <w:name w:val="Styl1"/>
    <w:basedOn w:val="Normln"/>
    <w:link w:val="Styl1Char"/>
    <w:qFormat/>
    <w:rsid w:val="00392CEB"/>
    <w:pPr>
      <w:widowControl w:val="0"/>
      <w:spacing w:after="120"/>
      <w:ind w:left="680" w:hanging="680"/>
      <w:jc w:val="both"/>
    </w:pPr>
    <w:rPr>
      <w:rFonts w:eastAsia="Times New Roman" w:cs="Times New Roman"/>
      <w:lang w:eastAsia="cs-CZ"/>
    </w:rPr>
  </w:style>
  <w:style w:type="character" w:customStyle="1" w:styleId="Styl1Char">
    <w:name w:val="Styl1 Char"/>
    <w:basedOn w:val="Standardnpsmoodstavce"/>
    <w:link w:val="Styl1"/>
    <w:rsid w:val="00392CEB"/>
    <w:rPr>
      <w:rFonts w:eastAsia="Times New Roman" w:cs="Times New Roman"/>
      <w:lang w:eastAsia="cs-CZ"/>
    </w:rPr>
  </w:style>
  <w:style w:type="paragraph" w:customStyle="1" w:styleId="Styl2111">
    <w:name w:val="Styl2 1.1.1"/>
    <w:basedOn w:val="Normln"/>
    <w:qFormat/>
    <w:rsid w:val="00392CEB"/>
    <w:pPr>
      <w:widowControl w:val="0"/>
      <w:spacing w:after="120"/>
      <w:ind w:left="680" w:hanging="680"/>
      <w:jc w:val="both"/>
    </w:pPr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96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F694-61BA-4A27-ADD7-F7E364C4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1896</Words>
  <Characters>11193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3</cp:revision>
  <cp:lastPrinted>2017-11-28T17:18:00Z</cp:lastPrinted>
  <dcterms:created xsi:type="dcterms:W3CDTF">2023-12-05T09:37:00Z</dcterms:created>
  <dcterms:modified xsi:type="dcterms:W3CDTF">2024-01-09T06:50:00Z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